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05" w:tblpY="184"/>
        <w:tblOverlap w:val="never"/>
        <w:tblW w:w="10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710"/>
        <w:gridCol w:w="1530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评审内容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评审因素</w:t>
            </w:r>
          </w:p>
        </w:tc>
        <w:tc>
          <w:tcPr>
            <w:tcW w:w="6325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52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资格评审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比选申请文件签字盖章</w:t>
            </w:r>
          </w:p>
        </w:tc>
        <w:tc>
          <w:tcPr>
            <w:tcW w:w="632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按比选文件要求，有法定代表人或其委托代理人签字，并加盖单位章。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营业执照</w:t>
            </w:r>
          </w:p>
        </w:tc>
        <w:tc>
          <w:tcPr>
            <w:tcW w:w="632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需具备独立法人资格，在登记管理部门注册登记。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法律服务团队业绩</w:t>
            </w:r>
          </w:p>
        </w:tc>
        <w:tc>
          <w:tcPr>
            <w:tcW w:w="632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近2年内（含2年） 担任过政府、事业单位、国有企业、上市公司、金融机构、基金管理公司法律顾问，需提供相应证明文件，并提供近2年的其他相关业绩清单。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近2年无受处分情况</w:t>
            </w:r>
          </w:p>
        </w:tc>
        <w:tc>
          <w:tcPr>
            <w:tcW w:w="632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应附比选申请人律师事务所及法律服务团队人员2年（含2年）内未受到行政处罚或行业处分的承诺书。（PDF格式电子版本）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952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详细评审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服务方案报价（10分）</w:t>
            </w:r>
          </w:p>
        </w:tc>
        <w:tc>
          <w:tcPr>
            <w:tcW w:w="632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各家律所有效报价(P）的算数平均值（V）为基准价，按各单位报价与基准价之间的偏离度（D）为依据进行评分，将各单位依据偏离度由小到大扫序，排名第一的单位得分为10，排名第二的单位得分为9，排名第三的单位得分为8，依次类推。其中，计算公式为D=(P-V)/V*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服务方案（35分）</w:t>
            </w:r>
          </w:p>
        </w:tc>
        <w:tc>
          <w:tcPr>
            <w:tcW w:w="632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1、服务方案针对性，符合招选单位服务内容和基本要求，由招采单位根据律所提交服务方案的针对性作出评分。（总分上限为10分）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2、服务方案专业性，能够提供专业团队/律师给出专业化服务，由招采单位根据律所提交服务方案的专业性做出评分。（总分上限为20分）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3、其他承诺，如服务质量、工作反馈时间等，由招采单位根据律所提交的承诺作出评分。（总分上限为5分）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9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顾问团队及主要负责人能力评价（25分）</w:t>
            </w:r>
          </w:p>
        </w:tc>
        <w:tc>
          <w:tcPr>
            <w:tcW w:w="632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顾问团队主办负责人近2年（2022年至今）主要法律工作/专业领域业绩，近2年（2022年至今）有办理过类似PPN项目、短期融资、公司债券类证券项目业绩得5分，每多一份类似业绩证明多得5分，需要相应的业绩合同予以证明。（总分上限为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9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2、顾问团队指派不少于三名执业律师组成顾问团队，团队成员有一定的法律服务资格，专业能力作出评分。（总分上限为10分）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9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机构资信评价（5分）</w:t>
            </w:r>
          </w:p>
        </w:tc>
        <w:tc>
          <w:tcPr>
            <w:tcW w:w="632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机构成立年限，成立1年以上（包含1年）得基础2分，是全国性的从业机构的得1分，在全国有10家以上分支机构的得1分，拥有超过2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家分支机构的加2分。（总分上限为5分）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9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机构业绩评价（25分）</w:t>
            </w:r>
          </w:p>
        </w:tc>
        <w:tc>
          <w:tcPr>
            <w:tcW w:w="632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1、提供律所办理资本证券业务业绩证明材料，2022年至今办理过债务融资工具及债券发行业务得5分，每多办理1项类似业务多得5分。（总分上限为15分）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95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2、除上述业绩以外，提供律所近2年（2022年至今）为其他省属国有企业、事业单位、政府机关方面常年法律服务业绩证明材料最低业绩要求为3项，满3项得6分，不满3项不得分，每多提供1项证明材料则多得2分。 （总分上限为10分）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517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得分：比选评审委员会各评委分别独立打分并计算各比选申请人得分，并署名确认。按照各评委评审得分计算出的平均值，作为比选申请人的最终得分。</w:t>
            </w:r>
            <w:r>
              <w:rPr>
                <w:rFonts w:hint="eastAsia" w:ascii="仿宋_GB2312" w:hAnsi="仿宋_GB2312" w:eastAsia="仿宋_GB2312" w:cs="仿宋_GB2312"/>
                <w:color w:val="FF0000"/>
              </w:rPr>
              <w:t>若比选申请人在本次</w:t>
            </w:r>
            <w:r>
              <w:rPr>
                <w:rFonts w:hint="eastAsia" w:ascii="仿宋_GB2312" w:hAnsi="微软雅黑" w:eastAsia="仿宋_GB2312" w:cs="仿宋_GB2312"/>
                <w:color w:val="FF0000"/>
                <w:szCs w:val="21"/>
                <w:shd w:val="clear" w:color="auto" w:fill="FFFFFF"/>
              </w:rPr>
              <w:t>债务融资工具服务外能为发行人提供其它</w:t>
            </w:r>
            <w:r>
              <w:rPr>
                <w:rFonts w:hint="eastAsia" w:ascii="仿宋_GB2312" w:hAnsi="微软雅黑" w:eastAsia="仿宋_GB2312" w:cs="仿宋_GB2312"/>
                <w:color w:val="FF0000"/>
                <w:szCs w:val="21"/>
                <w:shd w:val="clear" w:color="auto" w:fill="FFFFFF"/>
                <w:lang w:eastAsia="zh-CN"/>
              </w:rPr>
              <w:t>增值</w:t>
            </w:r>
            <w:r>
              <w:rPr>
                <w:rFonts w:hint="eastAsia" w:ascii="仿宋_GB2312" w:hAnsi="微软雅黑" w:eastAsia="仿宋_GB2312" w:cs="仿宋_GB2312"/>
                <w:color w:val="FF0000"/>
                <w:szCs w:val="21"/>
                <w:shd w:val="clear" w:color="auto" w:fill="FFFFFF"/>
              </w:rPr>
              <w:t>服务的在以上评分标准加</w:t>
            </w:r>
            <w:r>
              <w:rPr>
                <w:rFonts w:hint="eastAsia" w:ascii="仿宋_GB2312" w:hAnsi="微软雅黑" w:eastAsia="仿宋_GB2312" w:cs="仿宋_GB2312"/>
                <w:color w:val="FF0000"/>
                <w:szCs w:val="21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仿宋_GB2312" w:hAnsi="微软雅黑" w:eastAsia="仿宋_GB2312" w:cs="仿宋_GB2312"/>
                <w:color w:val="FF0000"/>
                <w:szCs w:val="21"/>
                <w:shd w:val="clear" w:color="auto" w:fill="FFFFFF"/>
              </w:rPr>
              <w:t>分。</w:t>
            </w:r>
          </w:p>
        </w:tc>
      </w:tr>
    </w:tbl>
    <w:p/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OTEwZjJlM2VmNDRmZWVkMjZkNDRhM2MxZTg0NWEifQ=="/>
  </w:docVars>
  <w:rsids>
    <w:rsidRoot w:val="2F592B10"/>
    <w:rsid w:val="2F59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2023-11-03T02:09:00Z</dcterms:created>
  <dc:creator>哓</dc:creator>
  <cp:lastModifiedBy>哓</cp:lastModifiedBy>
  <dcterms:modified xsi:type="dcterms:W3CDTF">2023-11-03T02:12:15Z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8887E7D904684967B4A33FF2D4899438_11</vt:lpwstr>
  </property>
</Properties>
</file>