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201" w:tblpY="583"/>
        <w:tblOverlap w:val="never"/>
        <w:tblW w:w="1020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1035"/>
        <w:gridCol w:w="784"/>
        <w:gridCol w:w="1301"/>
        <w:gridCol w:w="4099"/>
        <w:gridCol w:w="22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102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sz w:val="36"/>
                <w:szCs w:val="36"/>
              </w:rPr>
            </w:pPr>
            <w:r>
              <w:rPr>
                <w:rFonts w:hint="eastAsia" w:ascii="宋体" w:hAnsi="宋体" w:eastAsia="宋体"/>
                <w:b/>
                <w:kern w:val="0"/>
                <w:sz w:val="36"/>
                <w:szCs w:val="36"/>
                <w:lang w:val="en-US" w:eastAsia="zh-CN" w:bidi="ar"/>
              </w:rPr>
              <w:t>安宁市新三农投资开发有公司</w:t>
            </w:r>
            <w:r>
              <w:rPr>
                <w:rFonts w:hint="eastAsia" w:ascii="宋体" w:hAnsi="宋体" w:eastAsia="宋体"/>
                <w:b/>
                <w:kern w:val="0"/>
                <w:sz w:val="36"/>
                <w:szCs w:val="36"/>
                <w:lang w:bidi="ar"/>
              </w:rPr>
              <w:t>诉讼案件</w:t>
            </w:r>
            <w:r>
              <w:rPr>
                <w:rFonts w:hint="eastAsia" w:ascii="宋体" w:hAnsi="宋体" w:eastAsia="宋体"/>
                <w:b/>
                <w:kern w:val="0"/>
                <w:sz w:val="36"/>
                <w:szCs w:val="36"/>
                <w:lang w:val="en-US" w:eastAsia="zh-CN" w:bidi="ar"/>
              </w:rPr>
              <w:t>之</w:t>
            </w:r>
            <w:r>
              <w:rPr>
                <w:rFonts w:hint="eastAsia" w:ascii="宋体" w:hAnsi="宋体" w:eastAsia="宋体"/>
                <w:b/>
                <w:kern w:val="0"/>
                <w:sz w:val="36"/>
                <w:szCs w:val="36"/>
                <w:lang w:bidi="ar"/>
              </w:rPr>
              <w:t>专项法律服务机构选聘评分表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02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kern w:val="0"/>
                <w:sz w:val="28"/>
                <w:szCs w:val="28"/>
                <w:lang w:bidi="ar"/>
              </w:rPr>
              <w:t>报名单位：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szCs w:val="24"/>
                <w:lang w:bidi="ar"/>
              </w:rPr>
              <w:t>评分因素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szCs w:val="24"/>
                <w:lang w:bidi="ar"/>
              </w:rPr>
              <w:t>分值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szCs w:val="24"/>
                <w:lang w:bidi="ar"/>
              </w:rPr>
              <w:t>评分标准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szCs w:val="24"/>
                <w:lang w:bidi="ar"/>
              </w:rPr>
              <w:t>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szCs w:val="24"/>
                <w:lang w:bidi="ar"/>
              </w:rPr>
              <w:t>一</w:t>
            </w:r>
          </w:p>
        </w:tc>
        <w:tc>
          <w:tcPr>
            <w:tcW w:w="181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szCs w:val="24"/>
                <w:lang w:bidi="ar"/>
              </w:rPr>
              <w:t>资格审核</w:t>
            </w:r>
          </w:p>
        </w:tc>
        <w:tc>
          <w:tcPr>
            <w:tcW w:w="13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宋体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szCs w:val="24"/>
                <w:lang w:bidi="ar"/>
              </w:rPr>
              <w:t>1.经国家工商行政管理部门登记注册的独立企业（事业）法人或组织，具备司法部门颁发的《律师事务所执业许可证》且年检合格</w:t>
            </w:r>
            <w:r>
              <w:rPr>
                <w:rFonts w:hint="eastAsia" w:ascii="仿宋_GB2312" w:hAnsi="宋体" w:cs="仿宋_GB2312"/>
                <w:kern w:val="0"/>
                <w:sz w:val="24"/>
                <w:szCs w:val="24"/>
                <w:lang w:eastAsia="zh-CN" w:bidi="ar"/>
              </w:rPr>
              <w:t>。成立时间5年以上，登记在云南省外的，需在昆明有分支机构，且分支机构有不少于10名执业律师。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Wingdings" w:hAnsi="Wingdings" w:eastAsia="宋体" w:cs="Wingdings"/>
                <w:sz w:val="24"/>
                <w:szCs w:val="24"/>
              </w:rPr>
            </w:pPr>
            <w:r>
              <w:rPr>
                <w:rStyle w:val="5"/>
                <w:rFonts w:eastAsia="宋体"/>
                <w:color w:val="auto"/>
                <w:lang w:bidi="ar"/>
              </w:rPr>
              <w:t></w:t>
            </w:r>
            <w:r>
              <w:rPr>
                <w:rStyle w:val="6"/>
                <w:rFonts w:hint="default" w:hAnsi="Wingdings"/>
                <w:color w:val="auto"/>
                <w:lang w:bidi="ar"/>
              </w:rPr>
              <w:t xml:space="preserve">合格 </w:t>
            </w:r>
            <w:r>
              <w:rPr>
                <w:rStyle w:val="5"/>
                <w:rFonts w:eastAsia="宋体"/>
                <w:color w:val="auto"/>
                <w:lang w:bidi="ar"/>
              </w:rPr>
              <w:t></w:t>
            </w:r>
            <w:r>
              <w:rPr>
                <w:rStyle w:val="6"/>
                <w:rFonts w:hint="default" w:hAnsi="Wingdings"/>
                <w:color w:val="auto"/>
                <w:lang w:bidi="ar"/>
              </w:rPr>
              <w:t>不合格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6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  <w:szCs w:val="24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  <w:szCs w:val="24"/>
              </w:rPr>
            </w:pP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szCs w:val="24"/>
                <w:lang w:bidi="ar"/>
              </w:rPr>
              <w:t>2.信誉良好，三年内在经营活动中没有重大违法记录；目前没有处于被责令停业，财产被接管、冻结或破产状态；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Wingdings" w:hAnsi="Wingdings" w:eastAsia="宋体" w:cs="Wingdings"/>
                <w:sz w:val="24"/>
                <w:szCs w:val="24"/>
              </w:rPr>
            </w:pPr>
            <w:r>
              <w:rPr>
                <w:rStyle w:val="5"/>
                <w:rFonts w:eastAsia="宋体"/>
                <w:color w:val="auto"/>
                <w:lang w:bidi="ar"/>
              </w:rPr>
              <w:t></w:t>
            </w:r>
            <w:r>
              <w:rPr>
                <w:rStyle w:val="6"/>
                <w:rFonts w:hint="default" w:hAnsi="Wingdings"/>
                <w:color w:val="auto"/>
                <w:lang w:bidi="ar"/>
              </w:rPr>
              <w:t>合格</w:t>
            </w:r>
            <w:r>
              <w:rPr>
                <w:rStyle w:val="5"/>
                <w:rFonts w:eastAsia="宋体"/>
                <w:color w:val="auto"/>
                <w:lang w:bidi="ar"/>
              </w:rPr>
              <w:t></w:t>
            </w:r>
            <w:r>
              <w:rPr>
                <w:rStyle w:val="6"/>
                <w:rFonts w:hint="default" w:hAnsi="Wingdings"/>
                <w:color w:val="auto"/>
                <w:lang w:bidi="ar"/>
              </w:rPr>
              <w:t>不合格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szCs w:val="24"/>
                <w:lang w:bidi="ar"/>
              </w:rPr>
              <w:t>二</w:t>
            </w: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szCs w:val="24"/>
                <w:lang w:bidi="ar"/>
              </w:rPr>
              <w:t>商务报价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宋体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  <w:lang w:val="en-US" w:eastAsia="zh-CN"/>
              </w:rPr>
              <w:t>经资格审查对所有有效报名机构报价按由低到高顺序进行排序，根据排名前六名依次得15、12、10、8、6、4分，自第七名起不得分。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szCs w:val="24"/>
                <w:lang w:bidi="ar"/>
              </w:rPr>
              <w:t>三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szCs w:val="24"/>
                <w:lang w:bidi="ar"/>
              </w:rPr>
              <w:t>技术部分评分标准</w:t>
            </w:r>
          </w:p>
        </w:tc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szCs w:val="24"/>
                <w:lang w:bidi="ar"/>
              </w:rPr>
              <w:t>工作    方案</w:t>
            </w:r>
          </w:p>
        </w:tc>
        <w:tc>
          <w:tcPr>
            <w:tcW w:w="13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50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宋体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szCs w:val="24"/>
                <w:lang w:bidi="ar"/>
              </w:rPr>
              <w:t>1.工作方案的拟订较合理，完成时限最优，服务工作安排科学合理、具体可行，服务范围比较完整，承诺具有较强针对性的，得36-50分；</w:t>
            </w:r>
          </w:p>
        </w:tc>
        <w:tc>
          <w:tcPr>
            <w:tcW w:w="2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  <w:szCs w:val="24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  <w:szCs w:val="24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  <w:szCs w:val="24"/>
              </w:rPr>
            </w:pP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宋体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szCs w:val="24"/>
                <w:lang w:bidi="ar"/>
              </w:rPr>
              <w:t>2.工作方案的拟订基本合理，完成时限一般，服务工作安排基本合理，服务范围完整，承诺针对性较好，得26-35分；</w:t>
            </w:r>
          </w:p>
        </w:tc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  <w:szCs w:val="24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  <w:szCs w:val="24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  <w:szCs w:val="24"/>
              </w:rPr>
            </w:pP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宋体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szCs w:val="24"/>
                <w:lang w:bidi="ar"/>
              </w:rPr>
              <w:t>3.工作方案的拟订基本合理，完成时限一般，服务工作安排基本合理，服务范围基本完整，承诺针对性一般，得15-25分；</w:t>
            </w:r>
          </w:p>
        </w:tc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  <w:szCs w:val="24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  <w:szCs w:val="24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  <w:szCs w:val="24"/>
              </w:rPr>
            </w:pP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宋体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szCs w:val="24"/>
                <w:lang w:bidi="ar"/>
              </w:rPr>
              <w:t>4.工作方案的拟订不太合理，无具体完成时限，服务工作安排不合理，服务范围不全面，承诺无针对性，得0-15分。</w:t>
            </w:r>
          </w:p>
        </w:tc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szCs w:val="24"/>
                <w:lang w:bidi="ar"/>
              </w:rPr>
              <w:t>四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szCs w:val="24"/>
                <w:lang w:bidi="ar"/>
              </w:rPr>
              <w:t>其他因素部分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szCs w:val="24"/>
                <w:lang w:bidi="ar"/>
              </w:rPr>
              <w:t>评分标准</w:t>
            </w:r>
          </w:p>
        </w:tc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szCs w:val="24"/>
                <w:lang w:bidi="ar"/>
              </w:rPr>
              <w:t>人员    配置</w:t>
            </w:r>
          </w:p>
        </w:tc>
        <w:tc>
          <w:tcPr>
            <w:tcW w:w="13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default" w:ascii="仿宋_GB2312" w:hAnsi="宋体" w:eastAsia="宋体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szCs w:val="24"/>
                <w:lang w:bidi="ar"/>
              </w:rPr>
              <w:t>1.拟派遣开展配置本项目所需的人员，所指派主办律师具备5年以上执业经验，具备国企民商事诉讼案件处理经验</w:t>
            </w:r>
            <w:r>
              <w:rPr>
                <w:rFonts w:hint="eastAsia" w:ascii="仿宋_GB2312" w:hAnsi="宋体" w:cs="仿宋_GB2312"/>
                <w:kern w:val="0"/>
                <w:sz w:val="24"/>
                <w:szCs w:val="24"/>
                <w:lang w:val="en-US" w:eastAsia="zh-CN" w:bidi="ar"/>
              </w:rPr>
              <w:t>丰富，11-20分。</w:t>
            </w:r>
          </w:p>
          <w:p>
            <w:pPr>
              <w:widowControl/>
              <w:textAlignment w:val="center"/>
              <w:rPr>
                <w:rFonts w:ascii="仿宋_GB2312" w:hAnsi="宋体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szCs w:val="24"/>
                <w:lang w:bidi="ar"/>
              </w:rPr>
              <w:t>备注：人员不提供社保不得分</w:t>
            </w:r>
          </w:p>
        </w:tc>
        <w:tc>
          <w:tcPr>
            <w:tcW w:w="2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  <w:szCs w:val="24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  <w:szCs w:val="24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  <w:szCs w:val="24"/>
              </w:rPr>
            </w:pP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default" w:ascii="仿宋_GB2312" w:hAnsi="宋体" w:cs="仿宋_GB2312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szCs w:val="24"/>
                <w:lang w:bidi="ar"/>
              </w:rPr>
              <w:t>2.拟派遣开展配置本项目所需的人员，所指派主办律师</w:t>
            </w:r>
            <w:r>
              <w:rPr>
                <w:rFonts w:hint="eastAsia" w:ascii="仿宋_GB2312" w:hAnsi="宋体" w:cs="仿宋_GB2312"/>
                <w:kern w:val="0"/>
                <w:sz w:val="24"/>
                <w:szCs w:val="24"/>
                <w:lang w:val="en-US" w:eastAsia="zh-CN" w:bidi="ar"/>
              </w:rPr>
              <w:t>不足</w:t>
            </w:r>
            <w:r>
              <w:rPr>
                <w:rFonts w:hint="eastAsia" w:ascii="仿宋_GB2312" w:hAnsi="宋体" w:cs="仿宋_GB2312"/>
                <w:kern w:val="0"/>
                <w:sz w:val="24"/>
                <w:szCs w:val="24"/>
                <w:lang w:bidi="ar"/>
              </w:rPr>
              <w:t>5年以上执业经验</w:t>
            </w:r>
            <w:r>
              <w:rPr>
                <w:rFonts w:hint="eastAsia" w:ascii="仿宋_GB2312" w:hAnsi="宋体" w:cs="仿宋_GB2312"/>
                <w:kern w:val="0"/>
                <w:sz w:val="24"/>
                <w:szCs w:val="24"/>
                <w:lang w:eastAsia="zh-CN" w:bidi="ar"/>
              </w:rPr>
              <w:t>，具备国企民商事诉讼案件处理经验</w:t>
            </w:r>
            <w:r>
              <w:rPr>
                <w:rFonts w:hint="eastAsia" w:ascii="仿宋_GB2312" w:hAnsi="宋体" w:cs="仿宋_GB2312"/>
                <w:kern w:val="0"/>
                <w:sz w:val="24"/>
                <w:szCs w:val="24"/>
                <w:lang w:val="en-US" w:eastAsia="zh-CN" w:bidi="ar"/>
              </w:rPr>
              <w:t>一般，1-10分</w:t>
            </w:r>
          </w:p>
          <w:p>
            <w:pPr>
              <w:widowControl/>
              <w:textAlignment w:val="center"/>
              <w:rPr>
                <w:rFonts w:eastAsia="宋体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szCs w:val="24"/>
                <w:lang w:bidi="ar"/>
              </w:rPr>
              <w:t>备注：人员不提供社保不得分。</w:t>
            </w:r>
          </w:p>
        </w:tc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0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szCs w:val="24"/>
                <w:lang w:bidi="ar"/>
              </w:rPr>
              <w:t>企业    业绩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宋体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szCs w:val="24"/>
                <w:lang w:bidi="ar"/>
              </w:rPr>
              <w:t>服务单位（202</w:t>
            </w:r>
            <w:r>
              <w:rPr>
                <w:rFonts w:hint="eastAsia" w:ascii="仿宋_GB2312" w:hAnsi="宋体" w:cs="仿宋_GB2312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仿宋_GB2312" w:hAnsi="宋体" w:cs="仿宋_GB2312"/>
                <w:kern w:val="0"/>
                <w:sz w:val="24"/>
                <w:szCs w:val="24"/>
                <w:lang w:bidi="ar"/>
              </w:rPr>
              <w:t>年-至今）独立承担过</w:t>
            </w:r>
            <w:r>
              <w:rPr>
                <w:rFonts w:hint="eastAsia" w:ascii="仿宋_GB2312" w:hAnsi="宋体" w:cs="仿宋_GB2312"/>
                <w:kern w:val="0"/>
                <w:sz w:val="24"/>
                <w:szCs w:val="24"/>
                <w:lang w:val="en-US" w:eastAsia="zh-CN" w:bidi="ar"/>
              </w:rPr>
              <w:t>党政机关或国有企事业单位专项法律</w:t>
            </w:r>
            <w:r>
              <w:rPr>
                <w:rFonts w:hint="eastAsia" w:ascii="仿宋_GB2312" w:hAnsi="宋体" w:cs="仿宋_GB2312"/>
                <w:kern w:val="0"/>
                <w:sz w:val="24"/>
                <w:szCs w:val="24"/>
                <w:lang w:bidi="ar"/>
              </w:rPr>
              <w:t>服务业绩，每个业绩加</w:t>
            </w:r>
            <w:r>
              <w:rPr>
                <w:rFonts w:hint="eastAsia" w:ascii="仿宋_GB2312" w:hAnsi="宋体" w:cs="仿宋_GB2312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仿宋_GB2312" w:hAnsi="宋体" w:cs="仿宋_GB2312"/>
                <w:kern w:val="0"/>
                <w:sz w:val="24"/>
                <w:szCs w:val="24"/>
                <w:lang w:bidi="ar"/>
              </w:rPr>
              <w:t>分，满分为</w:t>
            </w:r>
            <w:r>
              <w:rPr>
                <w:rFonts w:hint="eastAsia" w:ascii="仿宋_GB2312" w:hAnsi="宋体" w:cs="仿宋_GB2312"/>
                <w:kern w:val="0"/>
                <w:sz w:val="24"/>
                <w:szCs w:val="24"/>
                <w:lang w:val="en-US" w:eastAsia="zh-CN" w:bidi="ar"/>
              </w:rPr>
              <w:t>15</w:t>
            </w:r>
            <w:r>
              <w:rPr>
                <w:rFonts w:hint="eastAsia" w:ascii="仿宋_GB2312" w:hAnsi="宋体" w:cs="仿宋_GB2312"/>
                <w:kern w:val="0"/>
                <w:sz w:val="24"/>
                <w:szCs w:val="24"/>
                <w:lang w:bidi="ar"/>
              </w:rPr>
              <w:t>分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2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szCs w:val="24"/>
                <w:lang w:bidi="ar"/>
              </w:rPr>
              <w:t>总得分</w:t>
            </w:r>
          </w:p>
        </w:tc>
        <w:tc>
          <w:tcPr>
            <w:tcW w:w="76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2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szCs w:val="24"/>
                <w:lang w:bidi="ar"/>
              </w:rPr>
              <w:t>评分人</w:t>
            </w:r>
          </w:p>
        </w:tc>
        <w:tc>
          <w:tcPr>
            <w:tcW w:w="76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/>
                <w:sz w:val="22"/>
                <w:szCs w:val="2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iMmEzYzUxMTcwZDllZWIzMGViNTQ3Yjk2ZjUwOGMifQ=="/>
    <w:docVar w:name="KSO_WPS_MARK_KEY" w:val="d1c1ec07-33ac-4972-ad84-221e58cabedb"/>
  </w:docVars>
  <w:rsids>
    <w:rsidRoot w:val="00000000"/>
    <w:rsid w:val="201A706A"/>
    <w:rsid w:val="761E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kern w:val="0"/>
      <w:sz w:val="24"/>
      <w:szCs w:val="22"/>
      <w:lang w:val="en-US" w:eastAsia="zh-CN" w:bidi="ar-SA"/>
    </w:rPr>
  </w:style>
  <w:style w:type="character" w:customStyle="1" w:styleId="5">
    <w:name w:val="font11"/>
    <w:basedOn w:val="4"/>
    <w:qFormat/>
    <w:uiPriority w:val="0"/>
    <w:rPr>
      <w:rFonts w:hint="default" w:ascii="Wingdings" w:hAnsi="Wingdings" w:cs="Wingdings"/>
      <w:color w:val="000000"/>
      <w:sz w:val="24"/>
      <w:szCs w:val="24"/>
      <w:u w:val="none"/>
    </w:rPr>
  </w:style>
  <w:style w:type="character" w:customStyle="1" w:styleId="6">
    <w:name w:val="font2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729</Words>
  <Characters>771</Characters>
  <Lines>0</Lines>
  <Paragraphs>0</Paragraphs>
  <TotalTime>0</TotalTime>
  <ScaleCrop>false</ScaleCrop>
  <LinksUpToDate>false</LinksUpToDate>
  <CharactersWithSpaces>784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2024-12-11T01:42:40Z</dcterms:created>
  <dc:creator>Administrator</dc:creator>
  <cp:lastModifiedBy>Administrator</cp:lastModifiedBy>
  <dcterms:modified xsi:type="dcterms:W3CDTF">2024-12-11T01:43:19Z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77140702BDC645759E5353E2C592A149</vt:lpwstr>
  </property>
</Properties>
</file>